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36" w:rsidRDefault="007A7F36" w:rsidP="007A7F36"/>
    <w:p w:rsidR="00955D1C" w:rsidRDefault="00955D1C" w:rsidP="007A7F36"/>
    <w:p w:rsidR="00955D1C" w:rsidRDefault="00955D1C" w:rsidP="007A7F36"/>
    <w:p w:rsidR="00955D1C" w:rsidRDefault="00955D1C" w:rsidP="00955D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24275" cy="781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ON_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E1A" w:rsidRDefault="00ED4E1A" w:rsidP="00955D1C">
      <w:pPr>
        <w:jc w:val="center"/>
      </w:pPr>
    </w:p>
    <w:p w:rsidR="00ED4E1A" w:rsidRDefault="00ED4E1A" w:rsidP="00955D1C">
      <w:pPr>
        <w:jc w:val="center"/>
      </w:pPr>
    </w:p>
    <w:p w:rsidR="00955D1C" w:rsidRDefault="00955D1C" w:rsidP="00955D1C">
      <w:pPr>
        <w:jc w:val="center"/>
      </w:pPr>
    </w:p>
    <w:p w:rsidR="00755EED" w:rsidRDefault="00755EED" w:rsidP="00755EED">
      <w:pPr>
        <w:jc w:val="center"/>
        <w:rPr>
          <w:sz w:val="36"/>
          <w:szCs w:val="36"/>
        </w:rPr>
      </w:pPr>
      <w:r w:rsidRPr="00755EED">
        <w:rPr>
          <w:sz w:val="36"/>
          <w:szCs w:val="36"/>
        </w:rPr>
        <w:t>Этап реги</w:t>
      </w:r>
      <w:r w:rsidRPr="00755EED">
        <w:rPr>
          <w:sz w:val="36"/>
          <w:szCs w:val="36"/>
        </w:rPr>
        <w:t xml:space="preserve">страции вашего товарного </w:t>
      </w:r>
      <w:r>
        <w:rPr>
          <w:sz w:val="36"/>
          <w:szCs w:val="36"/>
        </w:rPr>
        <w:t>знака.</w:t>
      </w:r>
    </w:p>
    <w:p w:rsidR="00FD746A" w:rsidRPr="00755EED" w:rsidRDefault="00755EED" w:rsidP="00755EED">
      <w:pPr>
        <w:jc w:val="center"/>
        <w:rPr>
          <w:sz w:val="36"/>
          <w:szCs w:val="36"/>
        </w:rPr>
      </w:pPr>
      <w:r w:rsidRPr="00755EED">
        <w:rPr>
          <w:sz w:val="36"/>
          <w:szCs w:val="36"/>
        </w:rPr>
        <w:t>Уведомления</w:t>
      </w:r>
      <w:r w:rsidRPr="00755EED">
        <w:rPr>
          <w:sz w:val="36"/>
          <w:szCs w:val="36"/>
        </w:rPr>
        <w:t xml:space="preserve"> о соотв</w:t>
      </w:r>
      <w:r w:rsidRPr="00755EED">
        <w:rPr>
          <w:sz w:val="36"/>
          <w:szCs w:val="36"/>
        </w:rPr>
        <w:t>етствии заявленного обозначения</w:t>
      </w:r>
      <w:r w:rsidRPr="00755EED">
        <w:rPr>
          <w:sz w:val="36"/>
          <w:szCs w:val="36"/>
        </w:rPr>
        <w:br/>
      </w:r>
      <w:r w:rsidRPr="00755EED">
        <w:rPr>
          <w:sz w:val="36"/>
          <w:szCs w:val="36"/>
        </w:rPr>
        <w:t>требованиям законодательства.</w:t>
      </w:r>
    </w:p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391F93" w:rsidRDefault="00ED4E1A" w:rsidP="00ED4E1A">
      <w:pPr>
        <w:jc w:val="right"/>
      </w:pPr>
      <w:r>
        <w:t xml:space="preserve">Телефон: 8-800-5556615, </w:t>
      </w:r>
      <w:r w:rsidRPr="00ED4E1A">
        <w:t>8</w:t>
      </w:r>
      <w:r>
        <w:t>-</w:t>
      </w:r>
      <w:r w:rsidR="00956E07">
        <w:t>812-</w:t>
      </w:r>
      <w:r w:rsidRPr="00ED4E1A">
        <w:t>3184012</w:t>
      </w:r>
      <w:r w:rsidRPr="00ED4E1A">
        <w:br/>
      </w:r>
      <w:r>
        <w:t xml:space="preserve">Почта: </w:t>
      </w:r>
      <w:hyperlink r:id="rId9" w:history="1">
        <w:r w:rsidRPr="001B07EB">
          <w:rPr>
            <w:rStyle w:val="ab"/>
            <w:lang w:val="en-US"/>
          </w:rPr>
          <w:t>info</w:t>
        </w:r>
        <w:r w:rsidRPr="00ED4E1A">
          <w:rPr>
            <w:rStyle w:val="ab"/>
          </w:rPr>
          <w:t>@</w:t>
        </w:r>
        <w:r w:rsidRPr="001B07EB">
          <w:rPr>
            <w:rStyle w:val="ab"/>
            <w:lang w:val="en-US"/>
          </w:rPr>
          <w:t>znakoved</w:t>
        </w:r>
        <w:r w:rsidRPr="00ED4E1A">
          <w:rPr>
            <w:rStyle w:val="ab"/>
          </w:rPr>
          <w:t>.</w:t>
        </w:r>
        <w:r w:rsidRPr="001B07EB">
          <w:rPr>
            <w:rStyle w:val="ab"/>
            <w:lang w:val="en-US"/>
          </w:rPr>
          <w:t>ru</w:t>
        </w:r>
      </w:hyperlink>
      <w:r w:rsidRPr="00ED4E1A">
        <w:br/>
      </w:r>
      <w:r>
        <w:t xml:space="preserve">Веб-сайт: </w:t>
      </w:r>
      <w:hyperlink r:id="rId10" w:history="1">
        <w:r w:rsidRPr="00ED4E1A">
          <w:rPr>
            <w:rStyle w:val="ab"/>
          </w:rPr>
          <w:t>www.znakoved.ru</w:t>
        </w:r>
      </w:hyperlink>
      <w:r w:rsidR="00391F93">
        <w:br w:type="page"/>
      </w:r>
    </w:p>
    <w:p w:rsidR="007A7F36" w:rsidRDefault="00755EED" w:rsidP="007A7F36">
      <w:pPr>
        <w:pStyle w:val="ac"/>
        <w:jc w:val="center"/>
        <w:rPr>
          <w:sz w:val="40"/>
          <w:szCs w:val="40"/>
        </w:rPr>
      </w:pPr>
      <w:r w:rsidRPr="00755EED">
        <w:rPr>
          <w:sz w:val="40"/>
          <w:szCs w:val="40"/>
        </w:rPr>
        <w:lastRenderedPageBreak/>
        <w:t>Что это? Что означает данное уведомление?</w:t>
      </w:r>
    </w:p>
    <w:tbl>
      <w:tblPr>
        <w:tblStyle w:val="ae"/>
        <w:tblW w:w="5000" w:type="pct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92"/>
      </w:tblGrid>
      <w:tr w:rsidR="00755EED" w:rsidTr="00D01402">
        <w:trPr>
          <w:jc w:val="center"/>
        </w:trPr>
        <w:tc>
          <w:tcPr>
            <w:tcW w:w="106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5EED" w:rsidRPr="00955D1C" w:rsidRDefault="00755EED" w:rsidP="00D01402">
            <w:pPr>
              <w:jc w:val="both"/>
            </w:pPr>
            <w:r w:rsidRPr="007071F1">
              <w:rPr>
                <w:b/>
                <w:color w:val="00B050"/>
              </w:rPr>
              <w:t xml:space="preserve">СПРАВКА: </w:t>
            </w:r>
            <w:r w:rsidRPr="00755EED">
              <w:rPr>
                <w:color w:val="365F91" w:themeColor="accent1" w:themeShade="BF"/>
              </w:rPr>
              <w:t xml:space="preserve">В настоящее время ваша заявка (ваш знак) находятся на стадии основной экспертизы согласно </w:t>
            </w:r>
            <w:hyperlink r:id="rId11" w:history="1">
              <w:r w:rsidRPr="00755EED">
                <w:rPr>
                  <w:rStyle w:val="ab"/>
                  <w:color w:val="365F91" w:themeColor="accent1" w:themeShade="BF"/>
                </w:rPr>
                <w:t>№-1499</w:t>
              </w:r>
            </w:hyperlink>
            <w:r w:rsidRPr="00755EED">
              <w:rPr>
                <w:color w:val="365F91" w:themeColor="accent1" w:themeShade="BF"/>
              </w:rPr>
              <w:t xml:space="preserve"> статье ГКРФ.</w:t>
            </w:r>
          </w:p>
        </w:tc>
      </w:tr>
    </w:tbl>
    <w:p w:rsidR="00755EED" w:rsidRDefault="00755EED" w:rsidP="00755EED"/>
    <w:p w:rsidR="00755EED" w:rsidRDefault="00755EED" w:rsidP="00755EED">
      <w:pPr>
        <w:jc w:val="both"/>
      </w:pPr>
      <w:r>
        <w:t xml:space="preserve">Это еще не окончательный решение ведомства об отказе в регистрации вашего товарного знака и это совсем не означает, что ваш товарный знак не будет зарегистрирован. </w:t>
      </w:r>
    </w:p>
    <w:p w:rsidR="00755EED" w:rsidRDefault="00755EED" w:rsidP="00755EED">
      <w:pPr>
        <w:jc w:val="both"/>
      </w:pPr>
      <w:r>
        <w:t xml:space="preserve">Получение «Уведомления» означает, что, по мнению курирующего вашу заявку эксперта (которое часто является субъективным в силу человеческого фактора) существуют причины препятствующие регистрации Вашего товарного знака. Это мнение эксперт обосновывает ссылками на соответствующие </w:t>
      </w:r>
      <w:r>
        <w:t xml:space="preserve">нормы Гражданского Кодекса РФ. </w:t>
      </w:r>
    </w:p>
    <w:p w:rsidR="00755EED" w:rsidRDefault="00755EED" w:rsidP="00755EED">
      <w:pPr>
        <w:jc w:val="both"/>
      </w:pPr>
      <w:r>
        <w:t>Экспертами патентного ведомства нередко направляются подобного рода «Уведомления». Часть из них носит весьма формальный характер и требует такого же формального ответа, в то время как другая часть «Уведомлений» потребует серьезных доводов в пользу регистрации заявленного обозначения в качестве товарного знака, которые должны опираться на нормы действующего Законодательства РФ о товарных знаках</w:t>
      </w:r>
      <w:r>
        <w:t xml:space="preserve"> и быть четко аргументированы. </w:t>
      </w:r>
    </w:p>
    <w:p w:rsidR="00755EED" w:rsidRDefault="00755EED" w:rsidP="00755EED">
      <w:pPr>
        <w:jc w:val="both"/>
      </w:pPr>
      <w:r>
        <w:t>«В результате проведения экспертизы обозначения «ХХХ», заявленного в отношении товаров (следует перечисление классов МКТУ) установлено, что…» Так, как правило, начинаются эти «Уведомления», а далее следует перечень того, что установлено:</w:t>
      </w:r>
    </w:p>
    <w:p w:rsidR="00755EED" w:rsidRPr="00755EED" w:rsidRDefault="00755EED" w:rsidP="00745393">
      <w:pPr>
        <w:pStyle w:val="af0"/>
        <w:numPr>
          <w:ilvl w:val="0"/>
          <w:numId w:val="16"/>
        </w:numPr>
        <w:jc w:val="both"/>
      </w:pPr>
      <w:r w:rsidRPr="00755EED">
        <w:t>Перечисляются выявленные тождественные и (или) сходные до степени смешения товарные знаки, препятствующие регистрации заявленного вами обозначения.</w:t>
      </w:r>
    </w:p>
    <w:p w:rsidR="00755EED" w:rsidRPr="00755EED" w:rsidRDefault="00755EED" w:rsidP="00745393">
      <w:pPr>
        <w:pStyle w:val="af0"/>
        <w:numPr>
          <w:ilvl w:val="0"/>
          <w:numId w:val="16"/>
        </w:numPr>
        <w:jc w:val="both"/>
      </w:pPr>
      <w:r w:rsidRPr="00755EED">
        <w:t>Отсутствие по мнению экспертизы, у заявленного обозначения различительной способности.</w:t>
      </w:r>
    </w:p>
    <w:p w:rsidR="00755EED" w:rsidRPr="00755EED" w:rsidRDefault="00755EED" w:rsidP="00745393">
      <w:pPr>
        <w:pStyle w:val="af0"/>
        <w:numPr>
          <w:ilvl w:val="0"/>
          <w:numId w:val="16"/>
        </w:numPr>
        <w:jc w:val="both"/>
      </w:pPr>
      <w:r w:rsidRPr="00755EED">
        <w:t>Ложность обозначения по отношению к заявленному перечню товаров (услуг).</w:t>
      </w:r>
    </w:p>
    <w:p w:rsidR="00755EED" w:rsidRPr="00755EED" w:rsidRDefault="00755EED" w:rsidP="00745393">
      <w:pPr>
        <w:pStyle w:val="af0"/>
        <w:numPr>
          <w:ilvl w:val="0"/>
          <w:numId w:val="16"/>
        </w:numPr>
        <w:jc w:val="both"/>
      </w:pPr>
      <w:r w:rsidRPr="00755EED">
        <w:t>Вероятность введения потребителей в заблуждение и другие.</w:t>
      </w:r>
    </w:p>
    <w:p w:rsidR="00755EED" w:rsidRDefault="00755EED" w:rsidP="00755EED">
      <w:pPr>
        <w:jc w:val="both"/>
      </w:pPr>
    </w:p>
    <w:p w:rsidR="00755EED" w:rsidRPr="00755EED" w:rsidRDefault="00755EED" w:rsidP="00755EED">
      <w:pPr>
        <w:jc w:val="center"/>
        <w:rPr>
          <w:sz w:val="28"/>
          <w:szCs w:val="28"/>
        </w:rPr>
      </w:pPr>
      <w:r w:rsidRPr="00755EED">
        <w:rPr>
          <w:sz w:val="28"/>
          <w:szCs w:val="28"/>
        </w:rPr>
        <w:t>Все возможные осн</w:t>
      </w:r>
      <w:r w:rsidRPr="00755EED">
        <w:rPr>
          <w:sz w:val="28"/>
          <w:szCs w:val="28"/>
        </w:rPr>
        <w:t xml:space="preserve">ования для отказа в регистрации </w:t>
      </w:r>
      <w:r w:rsidRPr="00755EED">
        <w:rPr>
          <w:sz w:val="28"/>
          <w:szCs w:val="28"/>
        </w:rPr>
        <w:br/>
      </w:r>
      <w:r w:rsidRPr="00755EED">
        <w:rPr>
          <w:sz w:val="28"/>
          <w:szCs w:val="28"/>
        </w:rPr>
        <w:t>перечислены в статье 1483 ГК РФ</w:t>
      </w:r>
    </w:p>
    <w:tbl>
      <w:tblPr>
        <w:tblStyle w:val="ae"/>
        <w:tblW w:w="5000" w:type="pct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92"/>
      </w:tblGrid>
      <w:tr w:rsidR="00755EED" w:rsidTr="00D01402">
        <w:trPr>
          <w:jc w:val="center"/>
        </w:trPr>
        <w:tc>
          <w:tcPr>
            <w:tcW w:w="106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5EED" w:rsidRPr="00755EED" w:rsidRDefault="00755EED" w:rsidP="00D01402">
            <w:pPr>
              <w:jc w:val="both"/>
            </w:pPr>
            <w:r w:rsidRPr="00755EED">
              <w:rPr>
                <w:color w:val="365F91" w:themeColor="accent1" w:themeShade="BF"/>
              </w:rPr>
              <w:t xml:space="preserve">Далеко не любые тексты и изображения могут быть зарегистрированы в качестве элементов товарного знака (знака обслуживания, наименования места происхождения товара). Существует целый ряд ограничений, описанный в статье </w:t>
            </w:r>
            <w:hyperlink r:id="rId12" w:history="1">
              <w:r w:rsidRPr="00755EED">
                <w:rPr>
                  <w:rStyle w:val="ab"/>
                  <w:color w:val="0000BF" w:themeColor="hyperlink" w:themeShade="BF"/>
                </w:rPr>
                <w:t>№-1483</w:t>
              </w:r>
            </w:hyperlink>
            <w:r w:rsidRPr="00755EED">
              <w:rPr>
                <w:color w:val="365F91" w:themeColor="accent1" w:themeShade="BF"/>
              </w:rPr>
              <w:t xml:space="preserve"> ГК РФ.</w:t>
            </w:r>
          </w:p>
        </w:tc>
      </w:tr>
    </w:tbl>
    <w:p w:rsidR="00755EED" w:rsidRDefault="00755EED" w:rsidP="00755EED"/>
    <w:tbl>
      <w:tblPr>
        <w:tblStyle w:val="ae"/>
        <w:tblW w:w="5000" w:type="pct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92"/>
      </w:tblGrid>
      <w:tr w:rsidR="00755EED" w:rsidTr="00D01402">
        <w:trPr>
          <w:jc w:val="center"/>
        </w:trPr>
        <w:tc>
          <w:tcPr>
            <w:tcW w:w="106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5EED" w:rsidRPr="00755EED" w:rsidRDefault="00755EED" w:rsidP="00D01402">
            <w:pPr>
              <w:jc w:val="both"/>
            </w:pPr>
            <w:r w:rsidRPr="00755EED">
              <w:rPr>
                <w:color w:val="365F91" w:themeColor="accent1" w:themeShade="BF"/>
              </w:rPr>
              <w:t>Заканчивается «Уведомление», как правило, так: «Заявителю предлагается представить свои доводы, которые будут учтены при принятии решения по результатам экспертизы заявленного обозначения».</w:t>
            </w:r>
          </w:p>
        </w:tc>
      </w:tr>
    </w:tbl>
    <w:p w:rsidR="00755EED" w:rsidRDefault="00755EED" w:rsidP="00755EED"/>
    <w:p w:rsidR="00755EED" w:rsidRDefault="00755EED" w:rsidP="00755EED"/>
    <w:p w:rsidR="002F2478" w:rsidRDefault="002F2478" w:rsidP="002F2478">
      <w:pPr>
        <w:pStyle w:val="ac"/>
        <w:jc w:val="center"/>
        <w:rPr>
          <w:sz w:val="40"/>
          <w:szCs w:val="40"/>
        </w:rPr>
      </w:pPr>
      <w:r w:rsidRPr="002F2478">
        <w:rPr>
          <w:sz w:val="40"/>
          <w:szCs w:val="40"/>
        </w:rPr>
        <w:lastRenderedPageBreak/>
        <w:t>Что будет происходить дальше?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  <w:r w:rsidRPr="002F2478">
        <w:rPr>
          <w:sz w:val="40"/>
          <w:szCs w:val="40"/>
        </w:rPr>
        <w:t>Когда ждать результата?</w:t>
      </w:r>
    </w:p>
    <w:p w:rsidR="00755EED" w:rsidRDefault="002F2478" w:rsidP="002F2478">
      <w:pPr>
        <w:jc w:val="both"/>
      </w:pPr>
      <w:r w:rsidRPr="002F2478">
        <w:t>Мы начинаем готовить ответные аргументы на полученное «Уведомление». Процесс подготовки ответа на Уведомление зачастую труден и не скор. Один только анализ «Уведомления» и составление плана мероприятий, направленных на преодоление отказа в регистрации требует много знаний, умения и опыта подобной работы.</w:t>
      </w:r>
    </w:p>
    <w:tbl>
      <w:tblPr>
        <w:tblStyle w:val="ae"/>
        <w:tblW w:w="5000" w:type="pct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92"/>
      </w:tblGrid>
      <w:tr w:rsidR="007071F1" w:rsidRPr="007071F1" w:rsidTr="00D01402">
        <w:trPr>
          <w:jc w:val="center"/>
        </w:trPr>
        <w:tc>
          <w:tcPr>
            <w:tcW w:w="106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71F1" w:rsidRPr="007071F1" w:rsidRDefault="007071F1" w:rsidP="00D01402">
            <w:pPr>
              <w:jc w:val="both"/>
              <w:rPr>
                <w:color w:val="FF0000"/>
              </w:rPr>
            </w:pPr>
            <w:r w:rsidRPr="007071F1">
              <w:rPr>
                <w:color w:val="FF0000"/>
              </w:rPr>
              <w:t>В «Уведомлении» содержатся лишь конечные выводы конкретного отдельно взятого эксперта (не консолидированное мнение патентного ведомства). При этом зачастую отсутствует логическая цепочка которая привела эксперта именно к таким выводам и заключениям. Отсюда задача – построить систему аргументов на каждый их пунктов «Уведомления» по формуле «Заявление» + «Принципы, сформулированные в нормативных правовых актах» + «Методические рекомендации по применению принципов» + «Практика решений» = «Аргумент».</w:t>
            </w:r>
          </w:p>
        </w:tc>
      </w:tr>
    </w:tbl>
    <w:p w:rsidR="00755EED" w:rsidRDefault="00755EED" w:rsidP="00755EED"/>
    <w:p w:rsidR="002F2478" w:rsidRPr="007071F1" w:rsidRDefault="007071F1" w:rsidP="007071F1">
      <w:pPr>
        <w:jc w:val="both"/>
      </w:pPr>
      <w:r w:rsidRPr="007071F1">
        <w:t xml:space="preserve">Решения федерального органа исполнительной власти по интеллектуальной собственности об отказе в принятии заявки на товарный знак к рассмотрению, о государственной регистрации товарного знака, об отказе в государственной регистрации товарного знака и о признании заявки на товарный знак отозванной могут быть оспорены – статья </w:t>
      </w:r>
      <w:hyperlink r:id="rId13" w:history="1">
        <w:r w:rsidRPr="007071F1">
          <w:rPr>
            <w:rStyle w:val="ab"/>
          </w:rPr>
          <w:t>№-1500</w:t>
        </w:r>
      </w:hyperlink>
      <w:r w:rsidRPr="007071F1">
        <w:t xml:space="preserve"> ГКРФ.</w:t>
      </w:r>
    </w:p>
    <w:p w:rsidR="002F2478" w:rsidRDefault="00745393" w:rsidP="00755EED">
      <w:r>
        <w:br w:type="page"/>
      </w:r>
    </w:p>
    <w:p w:rsidR="007071F1" w:rsidRDefault="007071F1" w:rsidP="007071F1">
      <w:pPr>
        <w:pStyle w:val="ac"/>
        <w:jc w:val="center"/>
        <w:rPr>
          <w:sz w:val="40"/>
          <w:szCs w:val="40"/>
        </w:rPr>
      </w:pPr>
      <w:r w:rsidRPr="007071F1">
        <w:rPr>
          <w:sz w:val="40"/>
          <w:szCs w:val="40"/>
        </w:rPr>
        <w:lastRenderedPageBreak/>
        <w:t>Словарь терминов и понятий</w:t>
      </w:r>
    </w:p>
    <w:p w:rsidR="002F2478" w:rsidRDefault="002F2478" w:rsidP="00755EED"/>
    <w:p w:rsidR="007071F1" w:rsidRPr="007071F1" w:rsidRDefault="007071F1" w:rsidP="007071F1">
      <w:pPr>
        <w:pStyle w:val="1"/>
        <w:jc w:val="center"/>
        <w:rPr>
          <w:sz w:val="24"/>
          <w:szCs w:val="24"/>
        </w:rPr>
      </w:pPr>
      <w:r w:rsidRPr="007071F1">
        <w:rPr>
          <w:sz w:val="24"/>
          <w:szCs w:val="24"/>
        </w:rPr>
        <w:t>«Сходство товарных знаков до степени смешения»</w:t>
      </w:r>
      <w:r>
        <w:rPr>
          <w:sz w:val="24"/>
          <w:szCs w:val="24"/>
        </w:rPr>
        <w:br/>
      </w:r>
    </w:p>
    <w:p w:rsidR="002F2478" w:rsidRDefault="007071F1" w:rsidP="00745393">
      <w:pPr>
        <w:jc w:val="both"/>
      </w:pPr>
      <w:r w:rsidRPr="007071F1">
        <w:t>Обозначение считается сходным до степени смешения с другим обозначением, если оно ассоциируется с ним в целом, несмотря на их отдельные отличия.</w:t>
      </w:r>
    </w:p>
    <w:p w:rsidR="007071F1" w:rsidRPr="007071F1" w:rsidRDefault="007071F1" w:rsidP="007071F1">
      <w:pPr>
        <w:pStyle w:val="1"/>
        <w:jc w:val="center"/>
        <w:rPr>
          <w:sz w:val="24"/>
          <w:szCs w:val="24"/>
        </w:rPr>
      </w:pPr>
      <w:r w:rsidRPr="007071F1">
        <w:rPr>
          <w:sz w:val="24"/>
          <w:szCs w:val="24"/>
        </w:rPr>
        <w:t>«Введение в заблуждение»</w:t>
      </w:r>
      <w:r>
        <w:rPr>
          <w:sz w:val="24"/>
          <w:szCs w:val="24"/>
        </w:rPr>
        <w:br/>
      </w:r>
    </w:p>
    <w:p w:rsidR="00A173E3" w:rsidRDefault="007071F1" w:rsidP="007071F1">
      <w:pPr>
        <w:jc w:val="both"/>
      </w:pPr>
      <w:r w:rsidRPr="007071F1">
        <w:t xml:space="preserve">Подразумевает субъективность восприятия обозначения. И здесь можно лишь основываться на предшествующий опыт, который у каждого человека различный. Например, один человек абсолютно точно знает о том, что Энн </w:t>
      </w:r>
      <w:proofErr w:type="spellStart"/>
      <w:r w:rsidRPr="007071F1">
        <w:t>Арбор</w:t>
      </w:r>
      <w:proofErr w:type="spellEnd"/>
      <w:r w:rsidRPr="007071F1">
        <w:t xml:space="preserve"> является университетским городком в США в штате Мичиган, а другой и понятия не имеет о существовании самого большого города в том же штате – Детройта.</w:t>
      </w:r>
    </w:p>
    <w:p w:rsidR="00A173E3" w:rsidRPr="007071F1" w:rsidRDefault="00A173E3" w:rsidP="00A173E3">
      <w:pPr>
        <w:pStyle w:val="1"/>
        <w:jc w:val="center"/>
        <w:rPr>
          <w:sz w:val="24"/>
          <w:szCs w:val="24"/>
        </w:rPr>
      </w:pPr>
      <w:r w:rsidRPr="00A173E3">
        <w:rPr>
          <w:sz w:val="24"/>
          <w:szCs w:val="24"/>
        </w:rPr>
        <w:t>«Однородность товаров и услуг»</w:t>
      </w:r>
      <w:r>
        <w:rPr>
          <w:sz w:val="24"/>
          <w:szCs w:val="24"/>
        </w:rPr>
        <w:br/>
      </w:r>
    </w:p>
    <w:p w:rsidR="00A173E3" w:rsidRDefault="00A173E3" w:rsidP="00A173E3">
      <w:pPr>
        <w:jc w:val="both"/>
      </w:pPr>
      <w:r w:rsidRPr="00A173E3">
        <w:t>Под однородными товарами понимают такие товары, в отношении которых у потребителя может создаваться представление об их принадлежности одному и тому же изготовителю. Для установления однородности товаров принимаются во внимание такие признаки как:</w:t>
      </w:r>
    </w:p>
    <w:p w:rsidR="00A173E3" w:rsidRDefault="00A173E3" w:rsidP="00A173E3">
      <w:pPr>
        <w:pStyle w:val="af0"/>
        <w:numPr>
          <w:ilvl w:val="0"/>
          <w:numId w:val="18"/>
        </w:numPr>
        <w:jc w:val="both"/>
      </w:pPr>
      <w:r>
        <w:t>Род (вид) товаров.</w:t>
      </w:r>
    </w:p>
    <w:p w:rsidR="00A173E3" w:rsidRDefault="00A173E3" w:rsidP="00A173E3">
      <w:pPr>
        <w:pStyle w:val="af0"/>
        <w:numPr>
          <w:ilvl w:val="0"/>
          <w:numId w:val="18"/>
        </w:numPr>
        <w:jc w:val="both"/>
      </w:pPr>
      <w:r>
        <w:t>Потребительские свойства товаров.</w:t>
      </w:r>
    </w:p>
    <w:p w:rsidR="00A173E3" w:rsidRDefault="00A173E3" w:rsidP="00A173E3">
      <w:pPr>
        <w:pStyle w:val="af0"/>
        <w:numPr>
          <w:ilvl w:val="0"/>
          <w:numId w:val="18"/>
        </w:numPr>
        <w:jc w:val="both"/>
      </w:pPr>
      <w:r>
        <w:t>Функциональное назначение товаров (объем и цель применения).</w:t>
      </w:r>
    </w:p>
    <w:p w:rsidR="00A173E3" w:rsidRDefault="00A173E3" w:rsidP="00A173E3">
      <w:pPr>
        <w:pStyle w:val="af0"/>
        <w:numPr>
          <w:ilvl w:val="0"/>
          <w:numId w:val="18"/>
        </w:numPr>
        <w:jc w:val="both"/>
      </w:pPr>
      <w:r>
        <w:t>Вид материала, из которого товары изготовлены.</w:t>
      </w:r>
    </w:p>
    <w:p w:rsidR="00A173E3" w:rsidRDefault="00A173E3" w:rsidP="00A173E3">
      <w:pPr>
        <w:pStyle w:val="af0"/>
        <w:numPr>
          <w:ilvl w:val="0"/>
          <w:numId w:val="18"/>
        </w:numPr>
        <w:jc w:val="both"/>
      </w:pPr>
      <w:r>
        <w:t xml:space="preserve">Взаимозаменяемость и </w:t>
      </w:r>
      <w:proofErr w:type="spellStart"/>
      <w:r>
        <w:t>взаимодополняемость</w:t>
      </w:r>
      <w:proofErr w:type="spellEnd"/>
      <w:r>
        <w:t xml:space="preserve"> товаров.</w:t>
      </w:r>
    </w:p>
    <w:p w:rsidR="00A173E3" w:rsidRDefault="00A173E3" w:rsidP="00A173E3">
      <w:pPr>
        <w:pStyle w:val="af0"/>
        <w:numPr>
          <w:ilvl w:val="0"/>
          <w:numId w:val="18"/>
        </w:numPr>
        <w:jc w:val="both"/>
      </w:pPr>
      <w:r>
        <w:t>Условия реализации товаров (общее место продажи</w:t>
      </w:r>
      <w:r>
        <w:t>, осуществление путей продаж, -</w:t>
      </w:r>
      <w:r>
        <w:t>преимущественно через розницу или опт).</w:t>
      </w:r>
    </w:p>
    <w:p w:rsidR="00A173E3" w:rsidRDefault="00A173E3" w:rsidP="00A173E3">
      <w:pPr>
        <w:pStyle w:val="af0"/>
        <w:numPr>
          <w:ilvl w:val="0"/>
          <w:numId w:val="18"/>
        </w:numPr>
        <w:jc w:val="both"/>
      </w:pPr>
      <w:r>
        <w:t>Круг потребителей товаров.</w:t>
      </w:r>
    </w:p>
    <w:p w:rsidR="00A173E3" w:rsidRDefault="00A173E3" w:rsidP="00A173E3">
      <w:pPr>
        <w:pStyle w:val="af0"/>
        <w:numPr>
          <w:ilvl w:val="0"/>
          <w:numId w:val="18"/>
        </w:numPr>
        <w:jc w:val="both"/>
      </w:pPr>
      <w:r>
        <w:t>Преимущественный или традиционный уклад использования товаров.</w:t>
      </w:r>
    </w:p>
    <w:p w:rsidR="00A173E3" w:rsidRDefault="00A173E3" w:rsidP="00A173E3">
      <w:pPr>
        <w:pStyle w:val="af0"/>
        <w:numPr>
          <w:ilvl w:val="0"/>
          <w:numId w:val="18"/>
        </w:numPr>
        <w:jc w:val="both"/>
      </w:pPr>
      <w:r>
        <w:t>Длительность/краткосрочность пользования товарами.</w:t>
      </w:r>
    </w:p>
    <w:p w:rsidR="00A173E3" w:rsidRDefault="00A173E3" w:rsidP="00A173E3">
      <w:pPr>
        <w:pStyle w:val="af0"/>
        <w:numPr>
          <w:ilvl w:val="0"/>
          <w:numId w:val="18"/>
        </w:numPr>
        <w:jc w:val="both"/>
      </w:pPr>
      <w:r>
        <w:t>Стоимость товаров (дорогостоящие или не дорогие).</w:t>
      </w:r>
    </w:p>
    <w:p w:rsidR="00A173E3" w:rsidRDefault="00A173E3" w:rsidP="00A173E3">
      <w:pPr>
        <w:pStyle w:val="af0"/>
        <w:numPr>
          <w:ilvl w:val="0"/>
          <w:numId w:val="18"/>
        </w:numPr>
        <w:jc w:val="both"/>
      </w:pPr>
      <w:r>
        <w:t>Другие признаки.</w:t>
      </w:r>
    </w:p>
    <w:p w:rsidR="008A24C0" w:rsidRPr="007071F1" w:rsidRDefault="008A24C0" w:rsidP="008A24C0">
      <w:pPr>
        <w:pStyle w:val="1"/>
        <w:jc w:val="center"/>
        <w:rPr>
          <w:sz w:val="24"/>
          <w:szCs w:val="24"/>
        </w:rPr>
      </w:pPr>
      <w:r w:rsidRPr="008A24C0">
        <w:rPr>
          <w:sz w:val="24"/>
          <w:szCs w:val="24"/>
        </w:rPr>
        <w:t>«Отсутствие различительной способности»</w:t>
      </w:r>
      <w:r>
        <w:rPr>
          <w:sz w:val="24"/>
          <w:szCs w:val="24"/>
        </w:rPr>
        <w:br/>
      </w:r>
    </w:p>
    <w:p w:rsidR="008A24C0" w:rsidRDefault="008A24C0" w:rsidP="008A24C0">
      <w:pPr>
        <w:jc w:val="both"/>
      </w:pPr>
      <w:r>
        <w:t>К обозначениям, не обладающим различительной способностью, относятся обозначения, представляющие собой буквы или цифры, не имеющие характерного графического исполнения; сочетания букв, не имеющие словесного характера; линии, простые геометрические фигуры, а также их сочетания, не обр</w:t>
      </w:r>
      <w:r>
        <w:t>азующие композиций.</w:t>
      </w:r>
    </w:p>
    <w:p w:rsidR="008A24C0" w:rsidRDefault="008A24C0" w:rsidP="008A24C0">
      <w:pPr>
        <w:jc w:val="both"/>
      </w:pPr>
      <w:r>
        <w:t xml:space="preserve">Указанным свойством также не обладают сочетания изобразительных элементов, не образующие композиций, дающих новый уровень восприятия. Такие обозначения не воспринимаются как нечто цельное, законченное, их трудно запомнить и даже просто распознать. Общим для подобных обозначений является то, </w:t>
      </w:r>
      <w:r>
        <w:lastRenderedPageBreak/>
        <w:t>что они не имеют никакой семантики. И отсутствие различительной способности в данном случае не связано с какими-то отдельными товарами и услугами, то есть такого свойства нет для любых товаров и усл</w:t>
      </w:r>
      <w:r>
        <w:t xml:space="preserve">уг. </w:t>
      </w:r>
    </w:p>
    <w:p w:rsidR="008A24C0" w:rsidRDefault="008A24C0" w:rsidP="008A24C0">
      <w:pPr>
        <w:jc w:val="both"/>
      </w:pPr>
      <w:r>
        <w:t>По-видимому, другие обозначения, не характеризующиеся указанными свойствами, можно считать обладающим</w:t>
      </w:r>
      <w:r>
        <w:t xml:space="preserve">и различительной способностью. </w:t>
      </w:r>
    </w:p>
    <w:p w:rsidR="00A173E3" w:rsidRDefault="008A24C0" w:rsidP="008A24C0">
      <w:pPr>
        <w:jc w:val="both"/>
      </w:pPr>
      <w:r>
        <w:t>Можно заключить, что различительной способностью обладают:</w:t>
      </w:r>
    </w:p>
    <w:p w:rsidR="008A24C0" w:rsidRDefault="008A24C0" w:rsidP="008A24C0">
      <w:pPr>
        <w:pStyle w:val="af0"/>
        <w:numPr>
          <w:ilvl w:val="0"/>
          <w:numId w:val="19"/>
        </w:numPr>
        <w:jc w:val="both"/>
      </w:pPr>
      <w:r>
        <w:t>Изобразительные знаки, дающие некое цельное представление об изображаемом объекте.</w:t>
      </w:r>
    </w:p>
    <w:p w:rsidR="008A24C0" w:rsidRDefault="008A24C0" w:rsidP="008A24C0">
      <w:pPr>
        <w:pStyle w:val="af0"/>
        <w:numPr>
          <w:ilvl w:val="0"/>
          <w:numId w:val="19"/>
        </w:numPr>
        <w:jc w:val="both"/>
      </w:pPr>
      <w:r>
        <w:t>Словесные знаки, содержащие существующие или искусственные слова.</w:t>
      </w:r>
    </w:p>
    <w:p w:rsidR="008A24C0" w:rsidRDefault="008A24C0" w:rsidP="008A24C0">
      <w:pPr>
        <w:pStyle w:val="af0"/>
        <w:numPr>
          <w:ilvl w:val="0"/>
          <w:numId w:val="19"/>
        </w:numPr>
        <w:jc w:val="both"/>
      </w:pPr>
      <w:r>
        <w:t>Сочетания этих эл</w:t>
      </w:r>
      <w:bookmarkStart w:id="0" w:name="_GoBack"/>
      <w:bookmarkEnd w:id="0"/>
      <w:r>
        <w:t>ементов, создающие целостное восприятие.</w:t>
      </w:r>
    </w:p>
    <w:p w:rsidR="00745393" w:rsidRDefault="00745393" w:rsidP="00745393">
      <w:pPr>
        <w:jc w:val="both"/>
      </w:pPr>
      <w:r>
        <w:t xml:space="preserve">Эти свойства позволяют использовать обладающие ими обозначения в качестве товарных знаков, то есть для индивидуализации маркируемых ими товаров и выделения этих товаров среди однородных товаров других производителей. Таким образом, под различительной способностью знака можно понимать некое свойство создавать цельное впечатление, быть хорошо воспринимаемым и запоминаемым для потребителя – носителя определенной культуры. </w:t>
      </w:r>
    </w:p>
    <w:p w:rsidR="00745393" w:rsidRDefault="00745393" w:rsidP="00745393">
      <w:pPr>
        <w:jc w:val="both"/>
      </w:pPr>
    </w:p>
    <w:p w:rsidR="002F2478" w:rsidRDefault="00745393" w:rsidP="00745393">
      <w:pPr>
        <w:jc w:val="both"/>
      </w:pPr>
      <w:r>
        <w:t>Важно отметить, что данные свойства характеризуют обозначение как таковое. Здесь различительная способность как бы абсолютна и присуща обозначению изначально, независимо от каких-то дополнительных факторов, например, активности использования или сходства с другими знаками.</w:t>
      </w:r>
    </w:p>
    <w:p w:rsidR="00745393" w:rsidRPr="007071F1" w:rsidRDefault="00745393" w:rsidP="00745393">
      <w:pPr>
        <w:pStyle w:val="1"/>
        <w:jc w:val="center"/>
        <w:rPr>
          <w:sz w:val="24"/>
          <w:szCs w:val="24"/>
        </w:rPr>
      </w:pPr>
      <w:r w:rsidRPr="00745393">
        <w:rPr>
          <w:sz w:val="24"/>
          <w:szCs w:val="24"/>
        </w:rPr>
        <w:t>«Ложность обозначения относительно перечня товаров (услуг)»</w:t>
      </w:r>
      <w:r>
        <w:rPr>
          <w:sz w:val="24"/>
          <w:szCs w:val="24"/>
        </w:rPr>
        <w:br/>
      </w:r>
    </w:p>
    <w:p w:rsidR="00745393" w:rsidRDefault="00745393" w:rsidP="00745393">
      <w:pPr>
        <w:jc w:val="both"/>
      </w:pPr>
      <w:r w:rsidRPr="00745393">
        <w:t>Нельзя на этикетке с подсолнечным маслом (перечень заявленных товаров – «подсолнечное масло») написать лимонад (товарный знак звучит как «Лимонад»).</w:t>
      </w:r>
    </w:p>
    <w:sectPr w:rsidR="00745393" w:rsidSect="007E4545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DE" w:rsidRDefault="008258DE" w:rsidP="005D422C">
      <w:pPr>
        <w:spacing w:after="0" w:line="240" w:lineRule="auto"/>
      </w:pPr>
      <w:r>
        <w:separator/>
      </w:r>
    </w:p>
  </w:endnote>
  <w:endnote w:type="continuationSeparator" w:id="0">
    <w:p w:rsidR="008258DE" w:rsidRDefault="008258DE" w:rsidP="005D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21"/>
      <w:gridCol w:w="1840"/>
      <w:gridCol w:w="4421"/>
    </w:tblGrid>
    <w:tr w:rsidR="005D422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D422C" w:rsidRDefault="005D422C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D422C" w:rsidRPr="005D422C" w:rsidRDefault="008258DE">
          <w:pPr>
            <w:pStyle w:val="a9"/>
            <w:rPr>
              <w:rFonts w:eastAsiaTheme="majorEastAsia" w:cstheme="minorHAnsi"/>
              <w:lang w:val="en-US"/>
            </w:rPr>
          </w:pPr>
          <w:hyperlink r:id="rId1" w:history="1">
            <w:r w:rsidR="005D422C" w:rsidRPr="005D422C">
              <w:rPr>
                <w:rStyle w:val="ab"/>
                <w:rFonts w:eastAsiaTheme="majorEastAsia" w:cstheme="minorHAnsi"/>
                <w:bCs/>
                <w:u w:val="none"/>
                <w:lang w:val="en-US"/>
              </w:rPr>
              <w:t>www.znakoved.ru</w:t>
            </w:r>
          </w:hyperlink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D422C" w:rsidRDefault="005D422C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D422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D422C" w:rsidRDefault="005D422C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D422C" w:rsidRDefault="005D422C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D422C" w:rsidRDefault="005D422C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D422C" w:rsidRDefault="005D42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DE" w:rsidRDefault="008258DE" w:rsidP="005D422C">
      <w:pPr>
        <w:spacing w:after="0" w:line="240" w:lineRule="auto"/>
      </w:pPr>
      <w:r>
        <w:separator/>
      </w:r>
    </w:p>
  </w:footnote>
  <w:footnote w:type="continuationSeparator" w:id="0">
    <w:p w:rsidR="008258DE" w:rsidRDefault="008258DE" w:rsidP="005D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2C" w:rsidRDefault="005D422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571C60" wp14:editId="52E855F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Надпись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D422C" w:rsidRDefault="005D422C">
                              <w:pPr>
                                <w:spacing w:after="0" w:line="240" w:lineRule="auto"/>
                              </w:pPr>
                              <w:r>
                                <w:t>Znakoved – Всё о товарных знаках!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71C60" id="_x0000_t202" coordsize="21600,21600" o:spt="202" path="m,l,21600r21600,l21600,xe">
              <v:stroke joinstyle="miter"/>
              <v:path gradientshapeok="t" o:connecttype="rect"/>
            </v:shapetype>
            <v:shape id="Надпись 473" o:spid="_x0000_s1026" type="#_x0000_t202" style="position:absolute;margin-left:0;margin-top:0;width:468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D422C" w:rsidRDefault="005D422C">
                        <w:pPr>
                          <w:spacing w:after="0" w:line="240" w:lineRule="auto"/>
                        </w:pPr>
                        <w:r>
                          <w:t>Znakoved – Всё о товарных знаках!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37667C" wp14:editId="066376E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Надпись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5D422C" w:rsidRDefault="005D422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745393" w:rsidRPr="00745393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7667C" id="Надпись 474" o:spid="_x0000_s1027" type="#_x0000_t202" style="position:absolute;margin-left:0;margin-top:0;width:1in;height:13.45pt;z-index:25165721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" o:allowincell="f" fillcolor="#4f81bd [3204]" stroked="f">
              <v:textbox style="mso-fit-shape-to-text:t" inset=",0,,0">
                <w:txbxContent>
                  <w:p w:rsidR="005D422C" w:rsidRDefault="005D422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745393" w:rsidRPr="00745393">
                      <w:rPr>
                        <w:noProof/>
                        <w:color w:val="FFFFFF" w:themeColor="background1"/>
                        <w14:numForm w14:val="lining"/>
                      </w:rPr>
                      <w:t>5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20D"/>
    <w:multiLevelType w:val="hybridMultilevel"/>
    <w:tmpl w:val="048E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4F63"/>
    <w:multiLevelType w:val="hybridMultilevel"/>
    <w:tmpl w:val="83A8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563B"/>
    <w:multiLevelType w:val="hybridMultilevel"/>
    <w:tmpl w:val="DD4E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016E"/>
    <w:multiLevelType w:val="hybridMultilevel"/>
    <w:tmpl w:val="0E88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D1FDD"/>
    <w:multiLevelType w:val="hybridMultilevel"/>
    <w:tmpl w:val="50E0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76111"/>
    <w:multiLevelType w:val="hybridMultilevel"/>
    <w:tmpl w:val="E4C2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6919"/>
    <w:multiLevelType w:val="hybridMultilevel"/>
    <w:tmpl w:val="4A5A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E2928"/>
    <w:multiLevelType w:val="hybridMultilevel"/>
    <w:tmpl w:val="44165D50"/>
    <w:lvl w:ilvl="0" w:tplc="0CF8DF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5139D"/>
    <w:multiLevelType w:val="hybridMultilevel"/>
    <w:tmpl w:val="B6FED21C"/>
    <w:lvl w:ilvl="0" w:tplc="0CF8DF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C3B77"/>
    <w:multiLevelType w:val="hybridMultilevel"/>
    <w:tmpl w:val="013A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210E5"/>
    <w:multiLevelType w:val="hybridMultilevel"/>
    <w:tmpl w:val="8852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B195B"/>
    <w:multiLevelType w:val="hybridMultilevel"/>
    <w:tmpl w:val="3792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282C"/>
    <w:multiLevelType w:val="hybridMultilevel"/>
    <w:tmpl w:val="9850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33C29"/>
    <w:multiLevelType w:val="hybridMultilevel"/>
    <w:tmpl w:val="0AF8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310BF"/>
    <w:multiLevelType w:val="hybridMultilevel"/>
    <w:tmpl w:val="69380F4E"/>
    <w:lvl w:ilvl="0" w:tplc="0CF8DF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556A8"/>
    <w:multiLevelType w:val="hybridMultilevel"/>
    <w:tmpl w:val="5C9E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320A0"/>
    <w:multiLevelType w:val="hybridMultilevel"/>
    <w:tmpl w:val="B812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82512"/>
    <w:multiLevelType w:val="hybridMultilevel"/>
    <w:tmpl w:val="AF4C8760"/>
    <w:lvl w:ilvl="0" w:tplc="73FAC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D2405F"/>
    <w:multiLevelType w:val="hybridMultilevel"/>
    <w:tmpl w:val="8F10C788"/>
    <w:lvl w:ilvl="0" w:tplc="22B4B85E">
      <w:start w:val="1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16"/>
  </w:num>
  <w:num w:numId="7">
    <w:abstractNumId w:val="13"/>
  </w:num>
  <w:num w:numId="8">
    <w:abstractNumId w:val="17"/>
  </w:num>
  <w:num w:numId="9">
    <w:abstractNumId w:val="11"/>
  </w:num>
  <w:num w:numId="10">
    <w:abstractNumId w:val="18"/>
  </w:num>
  <w:num w:numId="11">
    <w:abstractNumId w:val="5"/>
  </w:num>
  <w:num w:numId="12">
    <w:abstractNumId w:val="10"/>
  </w:num>
  <w:num w:numId="13">
    <w:abstractNumId w:val="8"/>
  </w:num>
  <w:num w:numId="14">
    <w:abstractNumId w:val="7"/>
  </w:num>
  <w:num w:numId="15">
    <w:abstractNumId w:val="14"/>
  </w:num>
  <w:num w:numId="16">
    <w:abstractNumId w:val="15"/>
  </w:num>
  <w:num w:numId="17">
    <w:abstractNumId w:val="2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33"/>
    <w:rsid w:val="00004AF4"/>
    <w:rsid w:val="000141D3"/>
    <w:rsid w:val="000161B4"/>
    <w:rsid w:val="00016C0E"/>
    <w:rsid w:val="00044DA7"/>
    <w:rsid w:val="000761EF"/>
    <w:rsid w:val="0008299E"/>
    <w:rsid w:val="00096F7A"/>
    <w:rsid w:val="000A0108"/>
    <w:rsid w:val="000A264C"/>
    <w:rsid w:val="000C1F19"/>
    <w:rsid w:val="000C65A9"/>
    <w:rsid w:val="000E48AC"/>
    <w:rsid w:val="000F4762"/>
    <w:rsid w:val="00103B98"/>
    <w:rsid w:val="0011089B"/>
    <w:rsid w:val="001117F6"/>
    <w:rsid w:val="00112E99"/>
    <w:rsid w:val="001207F4"/>
    <w:rsid w:val="0012287E"/>
    <w:rsid w:val="0012453C"/>
    <w:rsid w:val="00132910"/>
    <w:rsid w:val="00143DB0"/>
    <w:rsid w:val="00146344"/>
    <w:rsid w:val="00147009"/>
    <w:rsid w:val="00151970"/>
    <w:rsid w:val="00153D9F"/>
    <w:rsid w:val="00180187"/>
    <w:rsid w:val="00193751"/>
    <w:rsid w:val="001A19FA"/>
    <w:rsid w:val="001A1D5B"/>
    <w:rsid w:val="001A6EA6"/>
    <w:rsid w:val="001B2EE1"/>
    <w:rsid w:val="001C2A1F"/>
    <w:rsid w:val="001D12F9"/>
    <w:rsid w:val="001D17D8"/>
    <w:rsid w:val="001F1EFD"/>
    <w:rsid w:val="001F227C"/>
    <w:rsid w:val="001F3BF1"/>
    <w:rsid w:val="001F4F08"/>
    <w:rsid w:val="00203DA9"/>
    <w:rsid w:val="00205CDF"/>
    <w:rsid w:val="00222015"/>
    <w:rsid w:val="00226BBC"/>
    <w:rsid w:val="0022763D"/>
    <w:rsid w:val="00231FE3"/>
    <w:rsid w:val="00250031"/>
    <w:rsid w:val="002558A3"/>
    <w:rsid w:val="002653F2"/>
    <w:rsid w:val="002707E5"/>
    <w:rsid w:val="00291BDD"/>
    <w:rsid w:val="0029695B"/>
    <w:rsid w:val="002A128A"/>
    <w:rsid w:val="002B1F73"/>
    <w:rsid w:val="002C3047"/>
    <w:rsid w:val="002F2478"/>
    <w:rsid w:val="002F539C"/>
    <w:rsid w:val="002F5563"/>
    <w:rsid w:val="00313D93"/>
    <w:rsid w:val="00326CDC"/>
    <w:rsid w:val="00327F57"/>
    <w:rsid w:val="003430CA"/>
    <w:rsid w:val="00346A5F"/>
    <w:rsid w:val="00347769"/>
    <w:rsid w:val="00372D62"/>
    <w:rsid w:val="00376315"/>
    <w:rsid w:val="00377CED"/>
    <w:rsid w:val="00382788"/>
    <w:rsid w:val="00391F93"/>
    <w:rsid w:val="003965BA"/>
    <w:rsid w:val="003A64C2"/>
    <w:rsid w:val="003B51CC"/>
    <w:rsid w:val="003B5CB8"/>
    <w:rsid w:val="003C01D4"/>
    <w:rsid w:val="003C3AB5"/>
    <w:rsid w:val="003E70FE"/>
    <w:rsid w:val="003F654B"/>
    <w:rsid w:val="00414DF3"/>
    <w:rsid w:val="00430784"/>
    <w:rsid w:val="00431391"/>
    <w:rsid w:val="004322A8"/>
    <w:rsid w:val="00433BDE"/>
    <w:rsid w:val="00434578"/>
    <w:rsid w:val="00437962"/>
    <w:rsid w:val="00437B4B"/>
    <w:rsid w:val="00440B2F"/>
    <w:rsid w:val="0045096C"/>
    <w:rsid w:val="00451FB7"/>
    <w:rsid w:val="00467C5D"/>
    <w:rsid w:val="004754F1"/>
    <w:rsid w:val="00475F2F"/>
    <w:rsid w:val="00487082"/>
    <w:rsid w:val="004C3BBB"/>
    <w:rsid w:val="004E38FF"/>
    <w:rsid w:val="004E6D73"/>
    <w:rsid w:val="00516212"/>
    <w:rsid w:val="005341D7"/>
    <w:rsid w:val="00541AF7"/>
    <w:rsid w:val="005634FE"/>
    <w:rsid w:val="0056456D"/>
    <w:rsid w:val="00574520"/>
    <w:rsid w:val="00587A54"/>
    <w:rsid w:val="00592667"/>
    <w:rsid w:val="00592CF0"/>
    <w:rsid w:val="00596817"/>
    <w:rsid w:val="005A2C3F"/>
    <w:rsid w:val="005D422C"/>
    <w:rsid w:val="005D427F"/>
    <w:rsid w:val="005D4A00"/>
    <w:rsid w:val="005F0D9A"/>
    <w:rsid w:val="00604867"/>
    <w:rsid w:val="006405A4"/>
    <w:rsid w:val="00654CF8"/>
    <w:rsid w:val="00656662"/>
    <w:rsid w:val="00660325"/>
    <w:rsid w:val="0066351F"/>
    <w:rsid w:val="006720F3"/>
    <w:rsid w:val="006855AE"/>
    <w:rsid w:val="00686178"/>
    <w:rsid w:val="00687B0E"/>
    <w:rsid w:val="00692133"/>
    <w:rsid w:val="006A0922"/>
    <w:rsid w:val="006C17A9"/>
    <w:rsid w:val="006F0BAE"/>
    <w:rsid w:val="00702EB8"/>
    <w:rsid w:val="00706695"/>
    <w:rsid w:val="007071F1"/>
    <w:rsid w:val="00722380"/>
    <w:rsid w:val="00725196"/>
    <w:rsid w:val="00735AC1"/>
    <w:rsid w:val="00736963"/>
    <w:rsid w:val="007379C9"/>
    <w:rsid w:val="00745393"/>
    <w:rsid w:val="007456E9"/>
    <w:rsid w:val="00746E23"/>
    <w:rsid w:val="0074797E"/>
    <w:rsid w:val="00750B57"/>
    <w:rsid w:val="00755EED"/>
    <w:rsid w:val="007639B4"/>
    <w:rsid w:val="007777D9"/>
    <w:rsid w:val="00790748"/>
    <w:rsid w:val="007914BC"/>
    <w:rsid w:val="00791962"/>
    <w:rsid w:val="00795BC7"/>
    <w:rsid w:val="007A0192"/>
    <w:rsid w:val="007A7F36"/>
    <w:rsid w:val="007C1248"/>
    <w:rsid w:val="007E4545"/>
    <w:rsid w:val="00800C67"/>
    <w:rsid w:val="00805905"/>
    <w:rsid w:val="008258DE"/>
    <w:rsid w:val="00832241"/>
    <w:rsid w:val="00832A26"/>
    <w:rsid w:val="00832CE1"/>
    <w:rsid w:val="008359D3"/>
    <w:rsid w:val="00845D65"/>
    <w:rsid w:val="00847CE7"/>
    <w:rsid w:val="008503F4"/>
    <w:rsid w:val="00860241"/>
    <w:rsid w:val="00864FA7"/>
    <w:rsid w:val="0087618E"/>
    <w:rsid w:val="008769F7"/>
    <w:rsid w:val="00885331"/>
    <w:rsid w:val="00891ED4"/>
    <w:rsid w:val="00894FAE"/>
    <w:rsid w:val="008A24C0"/>
    <w:rsid w:val="008A2B2E"/>
    <w:rsid w:val="008B7B8A"/>
    <w:rsid w:val="008D03B1"/>
    <w:rsid w:val="008E47EE"/>
    <w:rsid w:val="008E620E"/>
    <w:rsid w:val="008E7393"/>
    <w:rsid w:val="008F769B"/>
    <w:rsid w:val="00910D56"/>
    <w:rsid w:val="0092017D"/>
    <w:rsid w:val="00922307"/>
    <w:rsid w:val="0093210E"/>
    <w:rsid w:val="009404EF"/>
    <w:rsid w:val="0094588D"/>
    <w:rsid w:val="00954921"/>
    <w:rsid w:val="00954C63"/>
    <w:rsid w:val="00955D1C"/>
    <w:rsid w:val="0095635E"/>
    <w:rsid w:val="00956E07"/>
    <w:rsid w:val="0096101F"/>
    <w:rsid w:val="00965B58"/>
    <w:rsid w:val="009808A6"/>
    <w:rsid w:val="00983028"/>
    <w:rsid w:val="00991D02"/>
    <w:rsid w:val="00997B84"/>
    <w:rsid w:val="009A1681"/>
    <w:rsid w:val="009A5E5D"/>
    <w:rsid w:val="009B0DE7"/>
    <w:rsid w:val="009B2195"/>
    <w:rsid w:val="009C6B3A"/>
    <w:rsid w:val="009C6E5E"/>
    <w:rsid w:val="009C7280"/>
    <w:rsid w:val="009D09CB"/>
    <w:rsid w:val="009D1C2D"/>
    <w:rsid w:val="009D3A88"/>
    <w:rsid w:val="009D4D51"/>
    <w:rsid w:val="009E3FA5"/>
    <w:rsid w:val="009E4D83"/>
    <w:rsid w:val="00A173E3"/>
    <w:rsid w:val="00A3006C"/>
    <w:rsid w:val="00A4246D"/>
    <w:rsid w:val="00A51F6D"/>
    <w:rsid w:val="00A60104"/>
    <w:rsid w:val="00A60CCF"/>
    <w:rsid w:val="00A62419"/>
    <w:rsid w:val="00A95D70"/>
    <w:rsid w:val="00AA7DAB"/>
    <w:rsid w:val="00AB0736"/>
    <w:rsid w:val="00AB5C19"/>
    <w:rsid w:val="00AD1D73"/>
    <w:rsid w:val="00AD2401"/>
    <w:rsid w:val="00AE420C"/>
    <w:rsid w:val="00AF42CC"/>
    <w:rsid w:val="00B05FEB"/>
    <w:rsid w:val="00B06889"/>
    <w:rsid w:val="00B0779C"/>
    <w:rsid w:val="00B119D7"/>
    <w:rsid w:val="00B13919"/>
    <w:rsid w:val="00B171EA"/>
    <w:rsid w:val="00B428D4"/>
    <w:rsid w:val="00B42AC6"/>
    <w:rsid w:val="00B60529"/>
    <w:rsid w:val="00B72FE6"/>
    <w:rsid w:val="00B97679"/>
    <w:rsid w:val="00BB535B"/>
    <w:rsid w:val="00BD1AA8"/>
    <w:rsid w:val="00BD5A13"/>
    <w:rsid w:val="00BD5EE7"/>
    <w:rsid w:val="00BD6442"/>
    <w:rsid w:val="00BD737E"/>
    <w:rsid w:val="00BE0B2F"/>
    <w:rsid w:val="00BE5570"/>
    <w:rsid w:val="00BE700F"/>
    <w:rsid w:val="00C00FA6"/>
    <w:rsid w:val="00C054A0"/>
    <w:rsid w:val="00C069FF"/>
    <w:rsid w:val="00C21EB3"/>
    <w:rsid w:val="00C22A12"/>
    <w:rsid w:val="00C63158"/>
    <w:rsid w:val="00C63997"/>
    <w:rsid w:val="00C70A23"/>
    <w:rsid w:val="00C7431F"/>
    <w:rsid w:val="00CA0694"/>
    <w:rsid w:val="00CA18F7"/>
    <w:rsid w:val="00CA25C4"/>
    <w:rsid w:val="00CB0785"/>
    <w:rsid w:val="00CB1695"/>
    <w:rsid w:val="00CB2BC5"/>
    <w:rsid w:val="00CB351E"/>
    <w:rsid w:val="00CC0FF8"/>
    <w:rsid w:val="00CC73B3"/>
    <w:rsid w:val="00CD2C6F"/>
    <w:rsid w:val="00CE2E2A"/>
    <w:rsid w:val="00D100AA"/>
    <w:rsid w:val="00D11BA7"/>
    <w:rsid w:val="00D126BF"/>
    <w:rsid w:val="00D1487B"/>
    <w:rsid w:val="00D20D20"/>
    <w:rsid w:val="00D257D8"/>
    <w:rsid w:val="00D26C95"/>
    <w:rsid w:val="00D36992"/>
    <w:rsid w:val="00D4279F"/>
    <w:rsid w:val="00D42DCE"/>
    <w:rsid w:val="00D637B1"/>
    <w:rsid w:val="00D658D4"/>
    <w:rsid w:val="00D6768C"/>
    <w:rsid w:val="00D720C6"/>
    <w:rsid w:val="00D862C1"/>
    <w:rsid w:val="00D86BE7"/>
    <w:rsid w:val="00DC360B"/>
    <w:rsid w:val="00DE3158"/>
    <w:rsid w:val="00DF2504"/>
    <w:rsid w:val="00DF55E3"/>
    <w:rsid w:val="00DF581D"/>
    <w:rsid w:val="00E02FE8"/>
    <w:rsid w:val="00E14E72"/>
    <w:rsid w:val="00E22C6F"/>
    <w:rsid w:val="00E4437C"/>
    <w:rsid w:val="00E6059C"/>
    <w:rsid w:val="00E67D25"/>
    <w:rsid w:val="00E71299"/>
    <w:rsid w:val="00E7286B"/>
    <w:rsid w:val="00E77BF1"/>
    <w:rsid w:val="00E82B26"/>
    <w:rsid w:val="00EA1973"/>
    <w:rsid w:val="00EB0933"/>
    <w:rsid w:val="00ED4E1A"/>
    <w:rsid w:val="00ED54A8"/>
    <w:rsid w:val="00EE0B20"/>
    <w:rsid w:val="00EF4B88"/>
    <w:rsid w:val="00EF7D23"/>
    <w:rsid w:val="00F02A29"/>
    <w:rsid w:val="00F1379F"/>
    <w:rsid w:val="00F143EF"/>
    <w:rsid w:val="00F21A88"/>
    <w:rsid w:val="00F21DE0"/>
    <w:rsid w:val="00F24683"/>
    <w:rsid w:val="00F2492F"/>
    <w:rsid w:val="00F36755"/>
    <w:rsid w:val="00F524A5"/>
    <w:rsid w:val="00F6582E"/>
    <w:rsid w:val="00F70CFF"/>
    <w:rsid w:val="00F8501F"/>
    <w:rsid w:val="00F90995"/>
    <w:rsid w:val="00F9270C"/>
    <w:rsid w:val="00F947D5"/>
    <w:rsid w:val="00F97539"/>
    <w:rsid w:val="00F975D2"/>
    <w:rsid w:val="00FB1759"/>
    <w:rsid w:val="00FB18B9"/>
    <w:rsid w:val="00FB6B1C"/>
    <w:rsid w:val="00FC0D44"/>
    <w:rsid w:val="00FD686D"/>
    <w:rsid w:val="00FD746A"/>
    <w:rsid w:val="00FE1CC2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398D2-9481-4711-977B-1667E5D3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ED"/>
  </w:style>
  <w:style w:type="paragraph" w:styleId="1">
    <w:name w:val="heading 1"/>
    <w:basedOn w:val="a"/>
    <w:next w:val="a"/>
    <w:link w:val="10"/>
    <w:uiPriority w:val="9"/>
    <w:qFormat/>
    <w:rsid w:val="00686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2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E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22C"/>
  </w:style>
  <w:style w:type="paragraph" w:styleId="a5">
    <w:name w:val="footer"/>
    <w:basedOn w:val="a"/>
    <w:link w:val="a6"/>
    <w:uiPriority w:val="99"/>
    <w:unhideWhenUsed/>
    <w:rsid w:val="005D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22C"/>
  </w:style>
  <w:style w:type="paragraph" w:styleId="a7">
    <w:name w:val="Balloon Text"/>
    <w:basedOn w:val="a"/>
    <w:link w:val="a8"/>
    <w:uiPriority w:val="99"/>
    <w:semiHidden/>
    <w:unhideWhenUsed/>
    <w:rsid w:val="005D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22C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D422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D422C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5D422C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E02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02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e">
    <w:name w:val="Table Grid"/>
    <w:basedOn w:val="a1"/>
    <w:uiPriority w:val="59"/>
    <w:rsid w:val="00E0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864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">
    <w:name w:val="FollowedHyperlink"/>
    <w:basedOn w:val="a0"/>
    <w:uiPriority w:val="99"/>
    <w:semiHidden/>
    <w:unhideWhenUsed/>
    <w:rsid w:val="00F975D2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92CF0"/>
    <w:pPr>
      <w:ind w:left="720"/>
      <w:contextualSpacing/>
    </w:pPr>
  </w:style>
  <w:style w:type="character" w:customStyle="1" w:styleId="sugarfield">
    <w:name w:val="sugar_field"/>
    <w:basedOn w:val="a0"/>
    <w:rsid w:val="001C2A1F"/>
  </w:style>
  <w:style w:type="character" w:styleId="af1">
    <w:name w:val="Strong"/>
    <w:basedOn w:val="a0"/>
    <w:uiPriority w:val="22"/>
    <w:qFormat/>
    <w:rsid w:val="009E4D8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72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86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60241"/>
  </w:style>
  <w:style w:type="table" w:styleId="-45">
    <w:name w:val="Grid Table 4 Accent 5"/>
    <w:basedOn w:val="a1"/>
    <w:uiPriority w:val="49"/>
    <w:rsid w:val="007E45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35">
    <w:name w:val="List Table 3 Accent 5"/>
    <w:basedOn w:val="a1"/>
    <w:uiPriority w:val="48"/>
    <w:rsid w:val="007E45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755E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nakoved.ru/GKRF/15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nakoved.ru/GKRF/148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nakoved.ru/GKRF/149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nakove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nakoved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nakov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23CD-12F1-46D2-A18E-8C706C00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Znakoved – Всё о товарных знаках!</vt:lpstr>
      <vt:lpstr>Znakoved – Всё о товарных знаках!</vt:lpstr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Znakoved – Всё о товарных знаках!</dc:title>
  <dc:creator>Znakoved</dc:creator>
  <cp:lastModifiedBy>Jeremy</cp:lastModifiedBy>
  <cp:revision>167</cp:revision>
  <dcterms:created xsi:type="dcterms:W3CDTF">2012-06-25T09:33:00Z</dcterms:created>
  <dcterms:modified xsi:type="dcterms:W3CDTF">2014-05-12T13:32:00Z</dcterms:modified>
</cp:coreProperties>
</file>